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Pr>
        <w:drawing>
          <wp:anchor allowOverlap="1" behindDoc="0" distB="0" distT="0" distL="114300" distR="114300" hidden="0" layoutInCell="1" locked="0" relativeHeight="0" simplePos="0">
            <wp:simplePos x="0" y="0"/>
            <wp:positionH relativeFrom="margin">
              <wp:posOffset>4181395</wp:posOffset>
            </wp:positionH>
            <wp:positionV relativeFrom="margin">
              <wp:posOffset>-375835</wp:posOffset>
            </wp:positionV>
            <wp:extent cx="1860474" cy="457200"/>
            <wp:effectExtent b="0" l="0" r="0" t="0"/>
            <wp:wrapSquare wrapText="bothSides" distB="0" distT="0" distL="114300" distR="11430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860474" cy="457200"/>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-899793</wp:posOffset>
            </wp:positionV>
            <wp:extent cx="1860840" cy="456843"/>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860840" cy="456843"/>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Intake vragenlijst dyslexieonderzoek: ouders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Persoonsgegevens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Naam</w:t>
        <w:tab/>
        <w:tab/>
        <w:tab/>
        <w:tab/>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Geboortedatum</w:t>
        <w:tab/>
        <w:tab/>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Adres</w:t>
        <w:tab/>
        <w:tab/>
        <w:tab/>
        <w:tab/>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Postcode en plaats</w:t>
        <w:tab/>
        <w:tab/>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Telefoonnummer</w:t>
        <w:tab/>
        <w:tab/>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E-mailadres</w:t>
        <w:tab/>
        <w:tab/>
        <w:tab/>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School</w:t>
        <w:tab/>
        <w:tab/>
        <w:tab/>
        <w:tab/>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Groep/klas</w:t>
        <w:tab/>
        <w:tab/>
        <w:tab/>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Contactpersoon school</w:t>
        <w:tab/>
        <w:tab/>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222222"/>
          <w:sz w:val="24"/>
          <w:szCs w:val="24"/>
          <w:u w:val="none"/>
          <w:shd w:fill="auto" w:val="clear"/>
          <w:vertAlign w:val="baseline"/>
          <w:rtl w:val="0"/>
        </w:rPr>
        <w:br w:type="textWrapping"/>
      </w:r>
      <w:r w:rsidDel="00000000" w:rsidR="00000000" w:rsidRPr="00000000">
        <w:rPr>
          <w:rFonts w:ascii="Calibri" w:cs="Calibri" w:eastAsia="Calibri" w:hAnsi="Calibri"/>
          <w:b w:val="1"/>
          <w:bCs w:val="1"/>
          <w:i w:val="0"/>
          <w:iCs w:val="0"/>
          <w:smallCaps w:val="0"/>
          <w:strike w:val="0"/>
          <w:color w:val="222222"/>
          <w:sz w:val="20"/>
          <w:szCs w:val="20"/>
          <w:u w:val="none"/>
          <w:shd w:fill="auto" w:val="clear"/>
          <w:vertAlign w:val="baseline"/>
          <w:rtl w:val="0"/>
        </w:rPr>
        <w:t xml:space="preserve">Met het indienen van deze vragenlijst geeft u aan bekend te zijn met de kosten voor het vooronderzoek dyslexie en geeft u toestemming voor dossiervorming.</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222222"/>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0"/>
          <w:szCs w:val="20"/>
          <w:u w:val="none"/>
          <w:shd w:fill="auto" w:val="clear"/>
          <w:vertAlign w:val="baseline"/>
          <w:rtl w:val="0"/>
        </w:rPr>
        <w:t xml:space="preserve">De kosten bedragen € 1</w:t>
      </w:r>
      <w:r w:rsidDel="00000000" w:rsidR="00000000" w:rsidRPr="00000000">
        <w:rPr>
          <w:color w:val="222222"/>
          <w:sz w:val="20"/>
          <w:szCs w:val="20"/>
          <w:rtl w:val="0"/>
        </w:rPr>
        <w:t xml:space="preserve">80</w:t>
      </w:r>
      <w:r w:rsidDel="00000000" w:rsidR="00000000" w:rsidRPr="00000000">
        <w:rPr>
          <w:rFonts w:ascii="Calibri" w:cs="Calibri" w:eastAsia="Calibri" w:hAnsi="Calibri"/>
          <w:b w:val="0"/>
          <w:bCs w:val="0"/>
          <w:i w:val="0"/>
          <w:iCs w:val="0"/>
          <w:smallCaps w:val="0"/>
          <w:strike w:val="0"/>
          <w:color w:val="222222"/>
          <w:sz w:val="20"/>
          <w:szCs w:val="20"/>
          <w:u w:val="none"/>
          <w:shd w:fill="auto" w:val="clear"/>
          <w:vertAlign w:val="baseline"/>
          <w:rtl w:val="0"/>
        </w:rPr>
        <w:t xml:space="preserve">,00 (wij beoordelen voor dit bedrag de vragenlijsten van school én van ouders, inclusief de aangeleverde behandelplannen).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1"/>
          <w:iCs w:val="1"/>
          <w:smallCaps w:val="0"/>
          <w:strike w:val="0"/>
          <w:color w:val="222222"/>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222222"/>
          <w:sz w:val="20"/>
          <w:szCs w:val="20"/>
          <w:u w:val="none"/>
          <w:shd w:fill="auto" w:val="clear"/>
          <w:vertAlign w:val="baseline"/>
          <w:rtl w:val="0"/>
        </w:rPr>
        <w:t xml:space="preserve">Genoemde kosten worden betaald door school / ouders (doorstrepen wat niet van toepassing is).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1"/>
          <w:iCs w:val="1"/>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Gezinsgegevens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Samenstelling gezin: </w:t>
        <w:tab/>
        <w:t xml:space="preserve">volledig gezin/</w:t>
        <w:tab/>
        <w:t xml:space="preserve">een-ouder gezin/samengesteld gezin/anders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Naam kinderen</w:t>
        <w:tab/>
        <w:tab/>
        <w:t xml:space="preserve">geb. datum</w:t>
        <w:tab/>
        <w:tab/>
        <w:t xml:space="preserve">school</w:t>
        <w:tab/>
        <w:tab/>
        <w:t xml:space="preserve">groep/klas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Komen er (ernstige) lees- en spellingproblemen voor in uw gezin, familie of familie van uw partner?</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Ontwikkelingsverloop</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Zijn er complicaties geweest tijdens de zwangerschap en de geboorte?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72.0" w:type="dxa"/>
        <w:jc w:val="left"/>
        <w:tblInd w:w="-108.0" w:type="dxa"/>
        <w:tblLayout w:type="fixed"/>
        <w:tblLook w:val="0000"/>
      </w:tblPr>
      <w:tblGrid>
        <w:gridCol w:w="8413"/>
        <w:gridCol w:w="659"/>
        <w:tblGridChange w:id="0">
          <w:tblGrid>
            <w:gridCol w:w="8413"/>
            <w:gridCol w:w="659"/>
          </w:tblGrid>
        </w:tblGridChange>
      </w:tblGrid>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Zijn er vlak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na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 geboorte problemen geweest (bijvoorbeeld geel zien, niet willen drinken, e.d.)?</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shd w:fill="auto" w:val="clear"/>
            <w:tcMar>
              <w:top w:w="0.0" w:type="dxa"/>
              <w:left w:w="108.0" w:type="dxa"/>
              <w:bottom w:w="0.0" w:type="dxa"/>
              <w:right w:w="108.0" w:type="dxa"/>
            </w:tcM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Hoe verliep de taal- spraakontwikkeling (eerste woordjes, verstaanbaarheid, zinsbouw, e.d.)?</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shd w:fill="auto" w:val="clear"/>
            <w:tcMar>
              <w:top w:w="0.0" w:type="dxa"/>
              <w:left w:w="108.0" w:type="dxa"/>
              <w:bottom w:w="0.0" w:type="dxa"/>
              <w:right w:w="108.0" w:type="dxa"/>
            </w:tcM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Hoe verliep de motorische ontwikkeling (heeft uw kind gekropen, opvallende manieren van voortbewegen, eerste stapjes/lopen, e.d.)?</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Zijn er specifieke problemen geweest (gedragsproblemen en/of lichamelijke klachten) in de periode tot aan de kleuterschool?</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9" w:hRule="atLeast"/>
          <w:tblHeader w:val="0"/>
        </w:trPr>
        <w:tc>
          <w:tcPr>
            <w:gridSpan w:val="2"/>
            <w:shd w:fill="auto" w:val="clear"/>
            <w:tcMar>
              <w:top w:w="0.0" w:type="dxa"/>
              <w:left w:w="108.0" w:type="dxa"/>
              <w:bottom w:w="0.0" w:type="dxa"/>
              <w:right w:w="108.0" w:type="dxa"/>
            </w:tcM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Heeft uw kind moeite (gehad) met:</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links/rechts benoeming</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rijmen</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het onthouden van rijmpjes/liedjes</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het onthouden van namen</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het onthouden van telefoonnummers</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onderscheid visueel gelijkende letters, zoals b/d en b/p, bij lezen of spellen</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onderscheid auditief gelijkende klanken, zoals f/v en s/z, bij lezen of spellen</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concentratie</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tempo</w:t>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het schoolwerk op tijd afkrijgen</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anders, namelijk:</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Schoolgegevens en leerontwikkeling</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er sprake geweest van bijzonderheden in de schoolloopbaan (doublure, verandering van school)?</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9180.0" w:type="dxa"/>
        <w:jc w:val="left"/>
        <w:tblInd w:w="-108.0" w:type="dxa"/>
        <w:tblLayout w:type="fixed"/>
        <w:tblLook w:val="0000"/>
      </w:tblPr>
      <w:tblGrid>
        <w:gridCol w:w="5145"/>
        <w:gridCol w:w="4035"/>
        <w:tblGridChange w:id="0">
          <w:tblGrid>
            <w:gridCol w:w="5145"/>
            <w:gridCol w:w="4035"/>
          </w:tblGrid>
        </w:tblGridChange>
      </w:tblGrid>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Hoe verliep groep 3 van de basisschool?</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nooit iets gemerkt van leerproblemen</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er was slechts sprake van een geringe achterstand op één leergebied te weten:……………….</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er was sprake van een duidelijke achterstand bij lezen</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er was sprake van een duidelijke achterstand bij spellen</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er was sprake van een duidelijke achterstand bij rekenen</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er was sprake van een duidelijke achterstand in de schrijfmotoriek</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resultaten bleven over de gehele linie achter</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anders, namelijk:……………….</w:t>
            </w:r>
          </w:p>
        </w:tc>
        <w:tc>
          <w:tcPr>
            <w:shd w:fill="auto" w:val="clear"/>
            <w:tcMar>
              <w:top w:w="0.0" w:type="dxa"/>
              <w:left w:w="10.0" w:type="dxa"/>
              <w:bottom w:w="0.0" w:type="dxa"/>
              <w:right w:w="10.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shd w:fill="auto" w:val="clear"/>
            <w:tcMar>
              <w:top w:w="0.0" w:type="dxa"/>
              <w:left w:w="108.0" w:type="dxa"/>
              <w:bottom w:w="0.0" w:type="dxa"/>
              <w:right w:w="108.0" w:type="dxa"/>
            </w:tcM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Heeft uw kind voor of tijdens de basisschoolperiode logopedie gehad?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Indien ja, waarom en wat was globaal de inhoud ervan?</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p>
        </w:tc>
      </w:tr>
      <w:tr>
        <w:trPr>
          <w:cantSplit w:val="0"/>
          <w:tblHeader w:val="0"/>
        </w:trPr>
        <w:tc>
          <w:tcPr>
            <w:gridSpan w:val="2"/>
            <w:shd w:fill="auto" w:val="clear"/>
            <w:tcMar>
              <w:top w:w="0.0" w:type="dxa"/>
              <w:left w:w="108.0" w:type="dxa"/>
              <w:bottom w:w="0.0" w:type="dxa"/>
              <w:right w:w="108.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Heeft uw kind altijd voldoende gelegenheid gehad tot leren (is er bijvoorbeeld sprake geweest van (langdurig) verzuim i.v.m. ziekte van uw kind of is de leerkracht langdurig ziek of afwezig geweest e.d.)?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shd w:fill="auto" w:val="clear"/>
            <w:tcMar>
              <w:top w:w="0.0" w:type="dxa"/>
              <w:left w:w="108.0" w:type="dxa"/>
              <w:bottom w:w="0.0" w:type="dxa"/>
              <w:right w:w="108.0" w:type="dxa"/>
            </w:tcM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er op de basisschool extra hulp (r.t.) gegeven m.b.t. taal, schrijven, rekenen of ander leergebied?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Indien ja, door wie werd er extra hulp gegeven, wat was de inhoud ervan?  </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Sociaal-emotionele ontwikkeling</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Gaat uw kind met plezier naar school?</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Heeft uw kind vriendinnen/vrienden? Hoe vaak heeft uw kind daarmee contact?</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Welke hobby’s heeft uw kind? Hoeveel tijd wordt hier per week aan besteed?</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Hoeveel tijd besteedt uw kind aan huiswerk maken?</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Onderzoeksvragen</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Heeft er eerder onderzoek plaatsgevonden (bijv. een psycholoog/orthopedagoog of door de schoolbegeleidingsdienst? Zo ja, wat waren de bevindingen?</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Wat is er tot nu toe aan het probleem gedaan?</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Waarover maakt u zich het meeste zorgen bij uw kind?</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Waarover bent u het meest tevreden bij uw kind?</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er nog andere informatie die u wilt vermelden?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tl w:val="0"/>
              </w:rPr>
            </w:r>
          </w:p>
        </w:tc>
        <w:tc>
          <w:tcPr>
            <w:shd w:fill="auto" w:val="clear"/>
            <w:tcMar>
              <w:top w:w="0.0" w:type="dxa"/>
              <w:left w:w="10.0" w:type="dxa"/>
              <w:bottom w:w="0.0" w:type="dxa"/>
              <w:right w:w="10.0" w:type="dxa"/>
            </w:tcMa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Dank u voor het invullen! Heeft u nog vragen, dan kunt u deze stellen tijdens het intakegesprek.</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Praktijk voor Orthopedagogiek Teylingen</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Gezondheidscentrum SassemBourg</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Jan van Brabantweg 77</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2171 HC  SASSENHEIM</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info@orthopedagogiek-teylingen.nl</w:t>
        </w:r>
      </w:hyperlink>
      <w:r w:rsidDel="00000000" w:rsidR="00000000" w:rsidRPr="00000000">
        <w:rPr>
          <w:rtl w:val="0"/>
        </w:rPr>
      </w:r>
    </w:p>
    <w:p w:rsidR="00000000" w:rsidDel="00000000" w:rsidP="00000000" w:rsidRDefault="00000000" w:rsidRPr="00000000" w14:paraId="00000073">
      <w:pPr>
        <w:pageBreakBefore w:val="1"/>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10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Overeenkomst vooronderzoek dyslexie/dyscalculie</w:t>
        <w:br w:type="textWrapping"/>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10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Cliënt naam: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8"/>
          <w:szCs w:val="28"/>
          <w:u w:val="none"/>
          <w:shd w:fill="auto" w:val="clear"/>
          <w:vertAlign w:val="baseline"/>
          <w:rtl w:val="0"/>
        </w:rPr>
        <w:t xml:space="preserve"> </w:t>
        <w:tab/>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School: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10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Geb. datum: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tab/>
        <w:t xml:space="preserve">Contactpersoon school: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10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Telefoon moeder: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E-mailadres contactpersoon: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10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E-mailadres moeder: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10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Telefoon vader: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10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E-mailadres vader: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0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widowControl w:val="1"/>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Voordat er een dyslexieonderzoek plaats kan vinden, maken wij een individuele afweging waarbij we onderzoeken (beoordelen) of een kind in aanmerking komt voor een dyslexieonderzoek. Hierbij houden wij ons aan de richtlijnen van de Brede Vakinhoudelijke Richtlijn Dyslexie (te vinden op Dyslexie Centraal). Dit betekent dat er na een aanmelding niet altijd een dyslexieonderzoek plaats zal vinden, omdat er mogelijk andere oorzaken/redenen zijn voor de problemen op het gebied van lezen en spellen. Dit wordt altijd aan u teruggekoppeld nadat de beoordeling heeft plaatsgevonden.</w:t>
        <w:br w:type="textWrapping"/>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 kosten voor het vooronderzoek dyslexie/dyscalculie bedragen €1</w:t>
      </w:r>
      <w:r w:rsidDel="00000000" w:rsidR="00000000" w:rsidRPr="00000000">
        <w:rPr>
          <w:sz w:val="20"/>
          <w:szCs w:val="20"/>
          <w:rtl w:val="0"/>
        </w:rPr>
        <w:t xml:space="preserve">80,0</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 Voor dit bedrag beoordelen wij de vragenlijsten van school én van ouders, inclusief de aangeleverde behandelplannen.</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Genoemde kosten worden betaald door school/ouders (doorstrepen wat niet van toepassing is).</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Handtekening voor akkoord betalingsvoorwaarden: </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Datum: …………………………………………………………………………………………………………..</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Naam betaler: ………………………………………………………………………………………………...</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Handtekening betaler: ……………………………………………………………………………………..</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footerReference r:id="rId9"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o"/>
      <w:lvlJc w:val="left"/>
      <w:pPr>
        <w:ind w:left="720" w:hanging="360"/>
      </w:pPr>
      <w:rPr>
        <w:rFonts w:ascii="Courier New" w:cs="Courier New" w:eastAsia="Courier New" w:hAnsi="Courier New"/>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1.%2.%3."/>
      <w:lvlJc w:val="right"/>
      <w:pPr>
        <w:ind w:left="2160" w:hanging="180"/>
      </w:pPr>
      <w:rPr/>
    </w:lvl>
    <w:lvl w:ilvl="3">
      <w:start w:val="1"/>
      <w:numFmt w:val="decimal"/>
      <w:lvlText w:val="%1.%2.%3.%4."/>
      <w:lvlJc w:val="left"/>
      <w:pPr>
        <w:ind w:left="2880" w:hanging="360"/>
      </w:pPr>
      <w:rPr/>
    </w:lvl>
    <w:lvl w:ilvl="4">
      <w:start w:val="1"/>
      <w:numFmt w:val="lowerLetter"/>
      <w:lvlText w:val="%1.%2.%3.%4.%5."/>
      <w:lvlJc w:val="left"/>
      <w:pPr>
        <w:ind w:left="3600" w:hanging="360"/>
      </w:pPr>
      <w:rPr/>
    </w:lvl>
    <w:lvl w:ilvl="5">
      <w:start w:val="1"/>
      <w:numFmt w:val="lowerRoman"/>
      <w:lvlText w:val="%1.%2.%3.%4.%5.%6."/>
      <w:lvlJc w:val="right"/>
      <w:pPr>
        <w:ind w:left="4320" w:hanging="180"/>
      </w:pPr>
      <w:rPr/>
    </w:lvl>
    <w:lvl w:ilvl="6">
      <w:start w:val="1"/>
      <w:numFmt w:val="decimal"/>
      <w:lvlText w:val="%1.%2.%3.%4.%5.%6.%7."/>
      <w:lvlJc w:val="left"/>
      <w:pPr>
        <w:ind w:left="5040" w:hanging="360"/>
      </w:pPr>
      <w:rPr/>
    </w:lvl>
    <w:lvl w:ilvl="7">
      <w:start w:val="1"/>
      <w:numFmt w:val="lowerLetter"/>
      <w:lvlText w:val="%1.%2.%3.%4.%5.%6.%7.%8."/>
      <w:lvlJc w:val="left"/>
      <w:pPr>
        <w:ind w:left="5760" w:hanging="360"/>
      </w:pPr>
      <w:rPr/>
    </w:lvl>
    <w:lvl w:ilvl="8">
      <w:start w:val="1"/>
      <w:numFmt w:val="lowerRoman"/>
      <w:lvlText w:val="%1.%2.%3.%4.%5.%6.%7.%8.%9."/>
      <w:lvlJc w:val="right"/>
      <w:pPr>
        <w:ind w:left="6480" w:hanging="180"/>
      </w:pPr>
      <w:rPr/>
    </w:lvl>
  </w:abstractNum>
  <w:abstractNum w:abstractNumId="3">
    <w:lvl w:ilvl="0">
      <w:start w:val="0"/>
      <w:numFmt w:val="bullet"/>
      <w:lvlText w:val="o"/>
      <w:lvlJc w:val="left"/>
      <w:pPr>
        <w:ind w:left="720" w:hanging="360"/>
      </w:pPr>
      <w:rPr>
        <w:rFonts w:ascii="Courier New" w:cs="Courier New" w:eastAsia="Courier New" w:hAnsi="Courier New"/>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o"/>
      <w:lvlJc w:val="left"/>
      <w:pPr>
        <w:ind w:left="720" w:hanging="360"/>
      </w:pPr>
      <w:rPr>
        <w:rFonts w:ascii="Courier New" w:cs="Courier New" w:eastAsia="Courier New" w:hAnsi="Courier New"/>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o"/>
      <w:lvlJc w:val="left"/>
      <w:pPr>
        <w:ind w:left="720" w:hanging="360"/>
      </w:pPr>
      <w:rPr>
        <w:rFonts w:ascii="Courier New" w:cs="Courier New" w:eastAsia="Courier New" w:hAnsi="Courier New"/>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widowControl w:val="0"/>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left"/>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Standard" w:customStyle="1">
    <w:name w:val="Standard"/>
    <w:pPr>
      <w:widowControl w:val="1"/>
      <w:suppressAutoHyphens w:val="1"/>
    </w:pPr>
  </w:style>
  <w:style w:type="paragraph" w:styleId="Heading" w:customStyle="1">
    <w:name w:val="Heading"/>
    <w:basedOn w:val="Standard"/>
    <w:next w:val="Textbody"/>
    <w:pPr>
      <w:keepNext w:val="1"/>
      <w:spacing w:after="120" w:before="240"/>
    </w:pPr>
    <w:rPr>
      <w:rFonts w:ascii="Arial" w:cs="Lucida Sans" w:eastAsia="Microsoft YaHei" w:hAnsi="Arial"/>
      <w:sz w:val="28"/>
      <w:szCs w:val="28"/>
    </w:rPr>
  </w:style>
  <w:style w:type="paragraph" w:styleId="Textbody" w:customStyle="1">
    <w:name w:val="Text body"/>
    <w:basedOn w:val="Standard"/>
    <w:pPr>
      <w:spacing w:after="120"/>
    </w:pPr>
  </w:style>
  <w:style w:type="paragraph" w:styleId="Lijst">
    <w:name w:val="List"/>
    <w:basedOn w:val="Textbody"/>
    <w:rPr>
      <w:rFonts w:cs="Lucida Sans"/>
    </w:rPr>
  </w:style>
  <w:style w:type="paragraph" w:styleId="Bijschrift">
    <w:name w:val="caption"/>
    <w:basedOn w:val="Standard"/>
    <w:pPr>
      <w:suppressLineNumbers w:val="1"/>
      <w:spacing w:after="120" w:before="120"/>
    </w:pPr>
    <w:rPr>
      <w:rFonts w:cs="Lucida Sans"/>
      <w:i w:val="1"/>
      <w:iCs w:val="1"/>
      <w:sz w:val="24"/>
      <w:szCs w:val="24"/>
    </w:rPr>
  </w:style>
  <w:style w:type="paragraph" w:styleId="Index" w:customStyle="1">
    <w:name w:val="Index"/>
    <w:basedOn w:val="Standard"/>
    <w:pPr>
      <w:suppressLineNumbers w:val="1"/>
    </w:pPr>
    <w:rPr>
      <w:rFonts w:cs="Lucida Sans"/>
    </w:rPr>
  </w:style>
  <w:style w:type="paragraph" w:styleId="Lijstalinea">
    <w:name w:val="List Paragraph"/>
    <w:basedOn w:val="Standard"/>
    <w:pPr>
      <w:ind w:left="720"/>
    </w:pPr>
  </w:style>
  <w:style w:type="paragraph" w:styleId="HeaderandFooter" w:customStyle="1">
    <w:name w:val="Header and Footer"/>
    <w:basedOn w:val="Standard"/>
    <w:pPr>
      <w:suppressLineNumbers w:val="1"/>
      <w:tabs>
        <w:tab w:val="center" w:pos="4819"/>
        <w:tab w:val="right" w:pos="9638"/>
      </w:tabs>
    </w:pPr>
  </w:style>
  <w:style w:type="paragraph" w:styleId="Koptekst">
    <w:name w:val="header"/>
    <w:basedOn w:val="Standard"/>
    <w:pPr>
      <w:suppressLineNumbers w:val="1"/>
      <w:tabs>
        <w:tab w:val="center" w:pos="4536"/>
        <w:tab w:val="right" w:pos="9072"/>
      </w:tabs>
      <w:spacing w:after="0" w:line="240" w:lineRule="auto"/>
    </w:pPr>
  </w:style>
  <w:style w:type="paragraph" w:styleId="Voettekst">
    <w:name w:val="footer"/>
    <w:basedOn w:val="Standard"/>
    <w:pPr>
      <w:suppressLineNumbers w:val="1"/>
      <w:tabs>
        <w:tab w:val="center" w:pos="4536"/>
        <w:tab w:val="right" w:pos="9072"/>
      </w:tabs>
      <w:spacing w:after="0" w:line="240" w:lineRule="auto"/>
    </w:pPr>
  </w:style>
  <w:style w:type="paragraph" w:styleId="TableContents" w:customStyle="1">
    <w:name w:val="Table Contents"/>
    <w:basedOn w:val="Standard"/>
    <w:pPr>
      <w:suppressLineNumbers w:val="1"/>
    </w:pPr>
  </w:style>
  <w:style w:type="character" w:styleId="KoptekstChar" w:customStyle="1">
    <w:name w:val="Koptekst Char"/>
    <w:basedOn w:val="Standaardalinea-lettertype"/>
  </w:style>
  <w:style w:type="character" w:styleId="VoettekstChar" w:customStyle="1">
    <w:name w:val="Voettekst Char"/>
    <w:basedOn w:val="Standaardalinea-lettertype"/>
  </w:style>
  <w:style w:type="character" w:styleId="Internetlink" w:customStyle="1">
    <w:name w:val="Internet link"/>
    <w:basedOn w:val="Standaardalinea-lettertype"/>
    <w:rPr>
      <w:color w:val="0000ff"/>
      <w:u w:val="single"/>
    </w:rPr>
  </w:style>
  <w:style w:type="character" w:styleId="ListLabel1" w:customStyle="1">
    <w:name w:val="ListLabel 1"/>
    <w:rPr>
      <w:rFonts w:cs="Calibri"/>
    </w:rPr>
  </w:style>
  <w:style w:type="character" w:styleId="ListLabel2" w:customStyle="1">
    <w:name w:val="ListLabel 2"/>
    <w:rPr>
      <w:rFonts w:cs="Courier New"/>
    </w:rPr>
  </w:style>
  <w:style w:type="paragraph" w:styleId="western" w:customStyle="1">
    <w:name w:val="western"/>
    <w:basedOn w:val="Standaard"/>
    <w:pPr>
      <w:widowControl w:val="1"/>
      <w:suppressAutoHyphens w:val="0"/>
      <w:spacing w:after="142" w:before="100"/>
      <w:textAlignment w:val="auto"/>
    </w:pPr>
    <w:rPr>
      <w:rFonts w:ascii="Arial" w:cs="Arial" w:eastAsia="Times New Roman" w:hAnsi="Arial"/>
      <w:color w:val="000000"/>
      <w:kern w:val="0"/>
      <w:lang w:eastAsia="nl-NL"/>
    </w:rPr>
  </w:style>
  <w:style w:type="numbering" w:styleId="WWNum1" w:customStyle="1">
    <w:name w:val="WWNum1"/>
    <w:basedOn w:val="Geenlijst"/>
    <w:pPr>
      <w:numPr>
        <w:numId w:val="1"/>
      </w:numPr>
    </w:pPr>
  </w:style>
  <w:style w:type="numbering" w:styleId="WWNum2" w:customStyle="1">
    <w:name w:val="WWNum2"/>
    <w:basedOn w:val="Geenlijst"/>
    <w:pPr>
      <w:numPr>
        <w:numId w:val="2"/>
      </w:numPr>
    </w:pPr>
  </w:style>
  <w:style w:type="numbering" w:styleId="WWNum3" w:customStyle="1">
    <w:name w:val="WWNum3"/>
    <w:basedOn w:val="Geenlijst"/>
    <w:pPr>
      <w:numPr>
        <w:numId w:val="3"/>
      </w:numPr>
    </w:pPr>
  </w:style>
  <w:style w:type="numbering" w:styleId="WWNum4" w:customStyle="1">
    <w:name w:val="WWNum4"/>
    <w:basedOn w:val="Geenlijst"/>
    <w:pPr>
      <w:numPr>
        <w:numId w:val="4"/>
      </w:numPr>
    </w:pPr>
  </w:style>
  <w:style w:type="numbering" w:styleId="WWNum5" w:customStyle="1">
    <w:name w:val="WWNum5"/>
    <w:basedOn w:val="Geenlijst"/>
    <w:pPr>
      <w:numPr>
        <w:numId w:val="5"/>
      </w:numPr>
    </w:pPr>
  </w:style>
  <w:style w:type="numbering" w:styleId="WWNum6" w:customStyle="1">
    <w:name w:val="WWNum6"/>
    <w:basedOn w:val="Geenlijst"/>
    <w:pPr>
      <w:numPr>
        <w:numId w:val="6"/>
      </w:numPr>
    </w:pPr>
  </w:style>
  <w:style w:type="numbering" w:styleId="WWNum7" w:customStyle="1">
    <w:name w:val="WWNum7"/>
    <w:basedOn w:val="Geenlijst"/>
    <w:pPr>
      <w:numPr>
        <w:numId w:val="7"/>
      </w:numPr>
    </w:pPr>
  </w:style>
  <w:style w:type="numbering" w:styleId="WWNum8" w:customStyle="1">
    <w:name w:val="WWNum8"/>
    <w:basedOn w:val="Geenlijst"/>
    <w:pPr>
      <w:numPr>
        <w:numId w:val="8"/>
      </w:numPr>
    </w:pPr>
  </w:style>
  <w:style w:type="numbering" w:styleId="WWNum9" w:customStyle="1">
    <w:name w:val="WWNum9"/>
    <w:basedOn w:val="Geenlijst"/>
    <w:pPr>
      <w:numPr>
        <w:numId w:val="9"/>
      </w:numPr>
    </w:pPr>
  </w:style>
  <w:style w:type="numbering" w:styleId="WWNum10" w:customStyle="1">
    <w:name w:val="WWNum10"/>
    <w:basedOn w:val="Geenlijst"/>
    <w:pPr>
      <w:numPr>
        <w:numId w:val="10"/>
      </w:numPr>
    </w:pPr>
  </w:style>
  <w:style w:type="numbering" w:styleId="WWNum11" w:customStyle="1">
    <w:name w:val="WWNum11"/>
    <w:basedOn w:val="Geenlijst"/>
    <w:pPr>
      <w:numPr>
        <w:numId w:val="11"/>
      </w:numPr>
    </w:pPr>
  </w:style>
  <w:style w:type="numbering" w:styleId="WWNum12" w:customStyle="1">
    <w:name w:val="WWNum12"/>
    <w:basedOn w:val="Geenlijst"/>
    <w:pPr>
      <w:numPr>
        <w:numId w:val="12"/>
      </w:numPr>
    </w:pPr>
  </w:style>
  <w:style w:type="character" w:styleId="gmaildefault" w:customStyle="1">
    <w:name w:val="gmail_default"/>
    <w:basedOn w:val="Standaardalinea-lettertype"/>
    <w:rsid w:val="00AB23B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info@orthopedagogiek-teylingen.n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134+k7mCabJLkN9Ymcwudvv9Q==">CgMxLjA4AHIhMXNRQXRsWnBSejdzN2VJd0p6Q1BxQ096dUpmTmVpVU9X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2021-11-11T12:30:00Z</dcterms:created>
  <dc:creator>Marjon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